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23A9A" w14:textId="77777777" w:rsidR="007478DC" w:rsidRDefault="007478DC" w:rsidP="007478DC">
      <w:pPr>
        <w:pStyle w:val="cjk"/>
        <w:spacing w:line="240" w:lineRule="auto"/>
        <w:ind w:hanging="3"/>
      </w:pPr>
      <w:r>
        <w:rPr>
          <w:rFonts w:hint="eastAsia"/>
          <w:vertAlign w:val="subscript"/>
        </w:rPr>
        <w:t>三軍總醫院</w:t>
      </w:r>
      <w:r>
        <w:rPr>
          <w:rFonts w:ascii="Times New Roman" w:hAnsi="Times New Roman" w:cs="Times New Roman" w:hint="eastAsia"/>
          <w:color w:val="000000"/>
        </w:rPr>
        <w:t>精神科病房</w:t>
      </w:r>
    </w:p>
    <w:p w14:paraId="5D5F06FA" w14:textId="77777777" w:rsidR="007478DC" w:rsidRDefault="007478DC" w:rsidP="007478DC">
      <w:pPr>
        <w:pStyle w:val="cjk"/>
        <w:numPr>
          <w:ilvl w:val="0"/>
          <w:numId w:val="6"/>
        </w:numPr>
        <w:spacing w:line="240" w:lineRule="auto"/>
        <w:rPr>
          <w:rFonts w:hint="eastAsia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實習單位：</w:t>
      </w:r>
      <w:r>
        <w:rPr>
          <w:rFonts w:ascii="Calibri" w:hAnsi="Calibri" w:cs="Calibri" w:hint="eastAsia"/>
          <w:sz w:val="24"/>
          <w:szCs w:val="24"/>
        </w:rPr>
        <w:t>37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病房</w:t>
      </w:r>
    </w:p>
    <w:p w14:paraId="219B8747" w14:textId="77777777" w:rsidR="007478DC" w:rsidRDefault="007478DC" w:rsidP="007478DC">
      <w:pPr>
        <w:pStyle w:val="cjk"/>
        <w:numPr>
          <w:ilvl w:val="0"/>
          <w:numId w:val="6"/>
        </w:numPr>
        <w:spacing w:line="240" w:lineRule="auto"/>
        <w:rPr>
          <w:rFonts w:hint="eastAsia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醫院地址：北市內湖區成功路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2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段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325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號。</w:t>
      </w:r>
    </w:p>
    <w:p w14:paraId="66A17C31" w14:textId="77777777" w:rsidR="007478DC" w:rsidRDefault="007478DC" w:rsidP="007478DC">
      <w:pPr>
        <w:pStyle w:val="cjk"/>
        <w:numPr>
          <w:ilvl w:val="0"/>
          <w:numId w:val="6"/>
        </w:numPr>
        <w:spacing w:line="240" w:lineRule="auto"/>
        <w:rPr>
          <w:rFonts w:hint="eastAsia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交通：公車</w:t>
      </w:r>
      <w:r>
        <w:rPr>
          <w:rFonts w:ascii="Times New Roman" w:hAnsi="Times New Roman" w:cs="Times New Roman" w:hint="eastAsia"/>
          <w:sz w:val="24"/>
          <w:szCs w:val="24"/>
        </w:rPr>
        <w:t>--</w:t>
      </w:r>
      <w:r>
        <w:rPr>
          <w:rFonts w:hint="eastAsia"/>
          <w:sz w:val="24"/>
          <w:szCs w:val="24"/>
        </w:rPr>
        <w:t>入內湖院區公車：聯營</w:t>
      </w:r>
      <w:r>
        <w:rPr>
          <w:rFonts w:ascii="Calibri" w:hAnsi="Calibri" w:cs="Calibri" w:hint="eastAsia"/>
          <w:sz w:val="24"/>
          <w:szCs w:val="24"/>
        </w:rPr>
        <w:t>28</w:t>
      </w:r>
      <w:r>
        <w:rPr>
          <w:rFonts w:hint="eastAsia"/>
          <w:sz w:val="24"/>
          <w:szCs w:val="24"/>
        </w:rPr>
        <w:t>、</w:t>
      </w:r>
      <w:r>
        <w:rPr>
          <w:rFonts w:ascii="Calibri" w:hAnsi="Calibri" w:cs="Calibri" w:hint="eastAsia"/>
          <w:sz w:val="24"/>
          <w:szCs w:val="24"/>
        </w:rPr>
        <w:t>214</w:t>
      </w:r>
      <w:r>
        <w:rPr>
          <w:rFonts w:hint="eastAsia"/>
          <w:sz w:val="24"/>
          <w:szCs w:val="24"/>
        </w:rPr>
        <w:t>、</w:t>
      </w:r>
      <w:r>
        <w:rPr>
          <w:rFonts w:ascii="Calibri" w:hAnsi="Calibri" w:cs="Calibri" w:hint="eastAsia"/>
          <w:sz w:val="24"/>
          <w:szCs w:val="24"/>
        </w:rPr>
        <w:t>240</w:t>
      </w:r>
      <w:r>
        <w:rPr>
          <w:rFonts w:hint="eastAsia"/>
          <w:sz w:val="24"/>
          <w:szCs w:val="24"/>
        </w:rPr>
        <w:t>、</w:t>
      </w:r>
      <w:r>
        <w:rPr>
          <w:rFonts w:ascii="Calibri" w:hAnsi="Calibri" w:cs="Calibri" w:hint="eastAsia"/>
          <w:sz w:val="24"/>
          <w:szCs w:val="24"/>
        </w:rPr>
        <w:t>278</w:t>
      </w:r>
      <w:r>
        <w:rPr>
          <w:rFonts w:hint="eastAsia"/>
          <w:sz w:val="24"/>
          <w:szCs w:val="24"/>
        </w:rPr>
        <w:t>、</w:t>
      </w:r>
      <w:r>
        <w:rPr>
          <w:rFonts w:ascii="Calibri" w:hAnsi="Calibri" w:cs="Calibri" w:hint="eastAsia"/>
          <w:sz w:val="24"/>
          <w:szCs w:val="24"/>
        </w:rPr>
        <w:t>284</w:t>
      </w:r>
      <w:r>
        <w:rPr>
          <w:rFonts w:hint="eastAsia"/>
          <w:sz w:val="24"/>
          <w:szCs w:val="24"/>
        </w:rPr>
        <w:t>、</w:t>
      </w:r>
      <w:r>
        <w:rPr>
          <w:rFonts w:ascii="Calibri" w:hAnsi="Calibri" w:cs="Calibri" w:hint="eastAsia"/>
          <w:sz w:val="24"/>
          <w:szCs w:val="24"/>
        </w:rPr>
        <w:t>521</w:t>
      </w:r>
      <w:r>
        <w:rPr>
          <w:rFonts w:hint="eastAsia"/>
          <w:sz w:val="24"/>
          <w:szCs w:val="24"/>
        </w:rPr>
        <w:t>、</w:t>
      </w:r>
      <w:r>
        <w:rPr>
          <w:rFonts w:ascii="Calibri" w:hAnsi="Calibri" w:cs="Calibri" w:hint="eastAsia"/>
          <w:sz w:val="24"/>
          <w:szCs w:val="24"/>
        </w:rPr>
        <w:t>617</w:t>
      </w:r>
      <w:r>
        <w:rPr>
          <w:rFonts w:hint="eastAsia"/>
          <w:sz w:val="24"/>
          <w:szCs w:val="24"/>
        </w:rPr>
        <w:t>、</w:t>
      </w:r>
      <w:r>
        <w:rPr>
          <w:rFonts w:ascii="Calibri" w:hAnsi="Calibri" w:cs="Calibri" w:hint="eastAsia"/>
          <w:sz w:val="24"/>
          <w:szCs w:val="24"/>
        </w:rPr>
        <w:t>645</w:t>
      </w:r>
      <w:r>
        <w:rPr>
          <w:rFonts w:hint="eastAsia"/>
          <w:sz w:val="24"/>
          <w:szCs w:val="24"/>
        </w:rPr>
        <w:t>、</w:t>
      </w:r>
      <w:r>
        <w:rPr>
          <w:rFonts w:ascii="Calibri" w:hAnsi="Calibri" w:cs="Calibri" w:hint="eastAsia"/>
          <w:sz w:val="24"/>
          <w:szCs w:val="24"/>
        </w:rPr>
        <w:t>646</w:t>
      </w:r>
      <w:r>
        <w:rPr>
          <w:rFonts w:hint="eastAsia"/>
          <w:sz w:val="24"/>
          <w:szCs w:val="24"/>
        </w:rPr>
        <w:t>、</w:t>
      </w:r>
      <w:r>
        <w:rPr>
          <w:rFonts w:ascii="Calibri" w:hAnsi="Calibri" w:cs="Calibri" w:hint="eastAsia"/>
          <w:sz w:val="24"/>
          <w:szCs w:val="24"/>
        </w:rPr>
        <w:t>903</w:t>
      </w:r>
      <w:r>
        <w:rPr>
          <w:rFonts w:hint="eastAsia"/>
          <w:sz w:val="24"/>
          <w:szCs w:val="24"/>
        </w:rPr>
        <w:t>、棕</w:t>
      </w:r>
      <w:r>
        <w:rPr>
          <w:rFonts w:ascii="Calibri" w:hAnsi="Calibri" w:cs="Calibri"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、藍</w:t>
      </w:r>
      <w:r>
        <w:rPr>
          <w:rFonts w:ascii="Calibri" w:hAnsi="Calibri" w:cs="Calibri" w:hint="eastAsia"/>
          <w:sz w:val="24"/>
          <w:szCs w:val="24"/>
        </w:rPr>
        <w:t>20</w:t>
      </w:r>
      <w:r>
        <w:rPr>
          <w:rFonts w:hint="eastAsia"/>
          <w:sz w:val="24"/>
          <w:szCs w:val="24"/>
        </w:rPr>
        <w:t>、藍</w:t>
      </w:r>
      <w:r>
        <w:rPr>
          <w:rFonts w:ascii="Calibri" w:hAnsi="Calibri" w:cs="Calibri" w:hint="eastAsia"/>
          <w:sz w:val="24"/>
          <w:szCs w:val="24"/>
        </w:rPr>
        <w:t>27</w:t>
      </w:r>
      <w:r>
        <w:rPr>
          <w:rFonts w:hint="eastAsia"/>
          <w:sz w:val="24"/>
          <w:szCs w:val="24"/>
        </w:rPr>
        <w:t>，</w:t>
      </w:r>
      <w:proofErr w:type="gramStart"/>
      <w:r>
        <w:rPr>
          <w:rFonts w:hint="eastAsia"/>
          <w:sz w:val="24"/>
          <w:szCs w:val="24"/>
        </w:rPr>
        <w:t>繞駛時間</w:t>
      </w:r>
      <w:proofErr w:type="gramEnd"/>
      <w:r>
        <w:rPr>
          <w:rFonts w:hint="eastAsia"/>
          <w:sz w:val="24"/>
          <w:szCs w:val="24"/>
        </w:rPr>
        <w:t>為</w:t>
      </w:r>
      <w:r>
        <w:rPr>
          <w:rFonts w:ascii="Calibri" w:hAnsi="Calibri" w:cs="Calibri" w:hint="eastAsia"/>
          <w:sz w:val="24"/>
          <w:szCs w:val="24"/>
        </w:rPr>
        <w:t>AM8</w:t>
      </w:r>
      <w:r>
        <w:rPr>
          <w:rFonts w:hint="eastAsia"/>
          <w:sz w:val="24"/>
          <w:szCs w:val="24"/>
        </w:rPr>
        <w:t>：</w:t>
      </w:r>
      <w:r>
        <w:rPr>
          <w:rFonts w:ascii="Calibri" w:hAnsi="Calibri" w:cs="Calibri" w:hint="eastAsia"/>
          <w:sz w:val="24"/>
          <w:szCs w:val="24"/>
        </w:rPr>
        <w:t>00-PM9</w:t>
      </w:r>
      <w:r>
        <w:rPr>
          <w:rFonts w:hint="eastAsia"/>
          <w:sz w:val="24"/>
          <w:szCs w:val="24"/>
        </w:rPr>
        <w:t>：</w:t>
      </w:r>
      <w:r>
        <w:rPr>
          <w:rFonts w:ascii="Calibri" w:hAnsi="Calibri" w:cs="Calibri" w:hint="eastAsia"/>
          <w:sz w:val="24"/>
          <w:szCs w:val="24"/>
        </w:rPr>
        <w:t>30(</w:t>
      </w:r>
      <w:r>
        <w:rPr>
          <w:rFonts w:hint="eastAsia"/>
          <w:sz w:val="24"/>
          <w:szCs w:val="24"/>
        </w:rPr>
        <w:t>因</w:t>
      </w:r>
      <w:proofErr w:type="gramStart"/>
      <w:r>
        <w:rPr>
          <w:rFonts w:hint="eastAsia"/>
          <w:sz w:val="24"/>
          <w:szCs w:val="24"/>
        </w:rPr>
        <w:t>本院地幅</w:t>
      </w:r>
      <w:proofErr w:type="gramEnd"/>
      <w:r>
        <w:rPr>
          <w:rFonts w:hint="eastAsia"/>
          <w:sz w:val="24"/>
          <w:szCs w:val="24"/>
        </w:rPr>
        <w:t>遼闊，…敬請多利用直達院區之公車</w:t>
      </w:r>
      <w:r>
        <w:rPr>
          <w:rFonts w:ascii="Calibri" w:hAnsi="Calibri" w:cs="Calibri"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。</w:t>
      </w:r>
    </w:p>
    <w:p w14:paraId="5C2655FD" w14:textId="77777777" w:rsidR="007478DC" w:rsidRDefault="007478DC" w:rsidP="007478DC">
      <w:pPr>
        <w:pStyle w:val="cjk"/>
        <w:numPr>
          <w:ilvl w:val="0"/>
          <w:numId w:val="6"/>
        </w:numPr>
        <w:spacing w:line="240" w:lineRule="auto"/>
        <w:rPr>
          <w:rFonts w:hint="eastAsia"/>
        </w:rPr>
      </w:pPr>
      <w:r>
        <w:rPr>
          <w:rFonts w:ascii="Calibri" w:hAnsi="Calibri" w:cs="Calibri" w:hint="eastAsia"/>
          <w:sz w:val="24"/>
          <w:szCs w:val="24"/>
        </w:rPr>
        <w:t xml:space="preserve">2. </w:t>
      </w:r>
      <w:r>
        <w:rPr>
          <w:rFonts w:hint="eastAsia"/>
          <w:sz w:val="24"/>
          <w:szCs w:val="24"/>
        </w:rPr>
        <w:t>內湖院區周邊公車：指南</w:t>
      </w:r>
      <w:r>
        <w:rPr>
          <w:rFonts w:ascii="Calibri" w:hAnsi="Calibri" w:cs="Calibri"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</w:t>
      </w:r>
      <w:r>
        <w:rPr>
          <w:rFonts w:ascii="Calibri" w:hAnsi="Calibri" w:cs="Calibri" w:hint="eastAsia"/>
          <w:sz w:val="24"/>
          <w:szCs w:val="24"/>
        </w:rPr>
        <w:t>256</w:t>
      </w:r>
      <w:r>
        <w:rPr>
          <w:rFonts w:hint="eastAsia"/>
          <w:sz w:val="24"/>
          <w:szCs w:val="24"/>
        </w:rPr>
        <w:t>、</w:t>
      </w:r>
      <w:r>
        <w:rPr>
          <w:rFonts w:ascii="Calibri" w:hAnsi="Calibri" w:cs="Calibri" w:hint="eastAsia"/>
          <w:sz w:val="24"/>
          <w:szCs w:val="24"/>
        </w:rPr>
        <w:t>286</w:t>
      </w:r>
      <w:r>
        <w:rPr>
          <w:rFonts w:hint="eastAsia"/>
          <w:sz w:val="24"/>
          <w:szCs w:val="24"/>
        </w:rPr>
        <w:t>、</w:t>
      </w:r>
      <w:r>
        <w:rPr>
          <w:rFonts w:ascii="Calibri" w:hAnsi="Calibri" w:cs="Calibri" w:hint="eastAsia"/>
          <w:sz w:val="24"/>
          <w:szCs w:val="24"/>
        </w:rPr>
        <w:t>613</w:t>
      </w:r>
      <w:r>
        <w:rPr>
          <w:rFonts w:hint="eastAsia"/>
          <w:sz w:val="24"/>
          <w:szCs w:val="24"/>
        </w:rPr>
        <w:t>、</w:t>
      </w:r>
      <w:r>
        <w:rPr>
          <w:rFonts w:ascii="Calibri" w:hAnsi="Calibri" w:cs="Calibri" w:hint="eastAsia"/>
          <w:sz w:val="24"/>
          <w:szCs w:val="24"/>
        </w:rPr>
        <w:t>630</w:t>
      </w:r>
      <w:r>
        <w:rPr>
          <w:rFonts w:hint="eastAsia"/>
          <w:sz w:val="24"/>
          <w:szCs w:val="24"/>
        </w:rPr>
        <w:t>、</w:t>
      </w:r>
      <w:r>
        <w:rPr>
          <w:rFonts w:ascii="Calibri" w:hAnsi="Calibri" w:cs="Calibri" w:hint="eastAsia"/>
          <w:sz w:val="24"/>
          <w:szCs w:val="24"/>
        </w:rPr>
        <w:t>652</w:t>
      </w:r>
      <w:r>
        <w:rPr>
          <w:rFonts w:hint="eastAsia"/>
          <w:sz w:val="24"/>
          <w:szCs w:val="24"/>
        </w:rPr>
        <w:t>、棕</w:t>
      </w:r>
      <w:r>
        <w:rPr>
          <w:rFonts w:ascii="Calibri" w:hAnsi="Calibri" w:cs="Calibri"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、小</w:t>
      </w:r>
      <w:r>
        <w:rPr>
          <w:rFonts w:ascii="Calibri" w:hAnsi="Calibri" w:cs="Calibri"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、台汽客運基隆</w:t>
      </w:r>
      <w:r>
        <w:rPr>
          <w:rFonts w:ascii="Calibri" w:hAnsi="Calibri" w:cs="Calibri" w:hint="eastAsia"/>
          <w:sz w:val="24"/>
          <w:szCs w:val="24"/>
        </w:rPr>
        <w:t>-</w:t>
      </w:r>
      <w:r>
        <w:rPr>
          <w:rFonts w:hint="eastAsia"/>
          <w:sz w:val="24"/>
          <w:szCs w:val="24"/>
        </w:rPr>
        <w:t>石牌線</w:t>
      </w:r>
      <w:r>
        <w:rPr>
          <w:rFonts w:ascii="Calibri" w:hAnsi="Calibri" w:cs="Calibri"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請於「國防醫學中心」下車，步行約十分鐘</w:t>
      </w:r>
      <w:r>
        <w:rPr>
          <w:rFonts w:ascii="Calibri" w:hAnsi="Calibri" w:cs="Calibri"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。</w:t>
      </w:r>
    </w:p>
    <w:p w14:paraId="45BDC438" w14:textId="77777777" w:rsidR="007478DC" w:rsidRDefault="007478DC" w:rsidP="007478DC">
      <w:pPr>
        <w:pStyle w:val="cjk"/>
        <w:numPr>
          <w:ilvl w:val="0"/>
          <w:numId w:val="6"/>
        </w:numPr>
        <w:spacing w:line="240" w:lineRule="auto"/>
        <w:rPr>
          <w:rFonts w:hint="eastAsia"/>
        </w:rPr>
      </w:pPr>
      <w:r>
        <w:rPr>
          <w:rFonts w:ascii="Calibri" w:hAnsi="Calibri" w:cs="Calibri" w:hint="eastAsia"/>
          <w:sz w:val="24"/>
          <w:szCs w:val="24"/>
        </w:rPr>
        <w:t xml:space="preserve">3. </w:t>
      </w:r>
      <w:r>
        <w:rPr>
          <w:rFonts w:hint="eastAsia"/>
          <w:sz w:val="24"/>
          <w:szCs w:val="24"/>
        </w:rPr>
        <w:t>捷運：捷運板南線「昆陽站」下車，可於</w:t>
      </w:r>
      <w:r>
        <w:rPr>
          <w:rFonts w:ascii="Calibri" w:hAnsi="Calibri" w:cs="Calibri"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號出口下車搭乘本院免費接駁車。「南港站」下車，於</w:t>
      </w:r>
      <w:r>
        <w:rPr>
          <w:rFonts w:ascii="Calibri" w:hAnsi="Calibri" w:cs="Calibri"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號或</w:t>
      </w:r>
      <w:r>
        <w:rPr>
          <w:rFonts w:ascii="Calibri" w:hAnsi="Calibri" w:cs="Calibri"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號出口對向公車站牌，搭乘本院免費接駁車。</w:t>
      </w:r>
    </w:p>
    <w:p w14:paraId="1C1D751C" w14:textId="77777777" w:rsidR="007478DC" w:rsidRDefault="007478DC" w:rsidP="007478DC">
      <w:pPr>
        <w:pStyle w:val="cjk"/>
        <w:numPr>
          <w:ilvl w:val="0"/>
          <w:numId w:val="6"/>
        </w:numPr>
        <w:spacing w:line="240" w:lineRule="auto"/>
        <w:rPr>
          <w:rFonts w:hint="eastAsia"/>
        </w:rPr>
      </w:pPr>
      <w:r>
        <w:rPr>
          <w:rFonts w:ascii="Calibri" w:hAnsi="Calibri" w:cs="Calibri"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松山火車站：於松山後火車站松山慈</w:t>
      </w:r>
      <w:proofErr w:type="gramStart"/>
      <w:r>
        <w:rPr>
          <w:rFonts w:hint="eastAsia"/>
          <w:sz w:val="24"/>
          <w:szCs w:val="24"/>
        </w:rPr>
        <w:t>祐</w:t>
      </w:r>
      <w:proofErr w:type="gramEnd"/>
      <w:r>
        <w:rPr>
          <w:rFonts w:hint="eastAsia"/>
          <w:sz w:val="24"/>
          <w:szCs w:val="24"/>
        </w:rPr>
        <w:t>宮前可搭乘本院免費之接駁車。</w:t>
      </w:r>
    </w:p>
    <w:p w14:paraId="312261B4" w14:textId="77777777" w:rsidR="007478DC" w:rsidRDefault="007478DC" w:rsidP="007478DC">
      <w:pPr>
        <w:pStyle w:val="cjk"/>
        <w:numPr>
          <w:ilvl w:val="0"/>
          <w:numId w:val="6"/>
        </w:numPr>
        <w:spacing w:line="240" w:lineRule="auto"/>
        <w:rPr>
          <w:rFonts w:hint="eastAsia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單位護理長：葉適華</w:t>
      </w:r>
    </w:p>
    <w:p w14:paraId="0F0B0884" w14:textId="77777777" w:rsidR="007478DC" w:rsidRDefault="007478DC" w:rsidP="007478DC">
      <w:pPr>
        <w:pStyle w:val="cjk"/>
        <w:numPr>
          <w:ilvl w:val="0"/>
          <w:numId w:val="6"/>
        </w:numPr>
        <w:spacing w:line="240" w:lineRule="auto"/>
        <w:rPr>
          <w:rFonts w:hint="eastAsia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單位電話：</w:t>
      </w:r>
      <w:r>
        <w:rPr>
          <w:rFonts w:ascii="Times New Roman" w:hAnsi="Times New Roman" w:cs="Times New Roman" w:hint="eastAsia"/>
          <w:sz w:val="24"/>
          <w:szCs w:val="24"/>
        </w:rPr>
        <w:t>02-</w:t>
      </w:r>
      <w:r>
        <w:rPr>
          <w:rFonts w:ascii="Calibri" w:hAnsi="Calibri" w:cs="Calibri" w:hint="eastAsia"/>
          <w:sz w:val="24"/>
          <w:szCs w:val="24"/>
        </w:rPr>
        <w:t>87923311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ext:</w:t>
      </w:r>
      <w:r>
        <w:rPr>
          <w:rFonts w:ascii="Calibri" w:hAnsi="Calibri" w:cs="Calibri" w:hint="eastAsia"/>
          <w:sz w:val="24"/>
          <w:szCs w:val="24"/>
        </w:rPr>
        <w:t>3700</w:t>
      </w:r>
    </w:p>
    <w:p w14:paraId="3552666D" w14:textId="77777777" w:rsidR="007478DC" w:rsidRDefault="007478DC" w:rsidP="007478DC">
      <w:pPr>
        <w:pStyle w:val="cjk"/>
        <w:numPr>
          <w:ilvl w:val="0"/>
          <w:numId w:val="6"/>
        </w:numPr>
        <w:spacing w:line="240" w:lineRule="auto"/>
        <w:rPr>
          <w:rFonts w:hint="eastAsia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指導老師：鄭偉君老師</w:t>
      </w:r>
    </w:p>
    <w:p w14:paraId="35303F76" w14:textId="77777777" w:rsidR="007478DC" w:rsidRDefault="007478DC" w:rsidP="007478DC">
      <w:pPr>
        <w:pStyle w:val="cjk"/>
        <w:numPr>
          <w:ilvl w:val="0"/>
          <w:numId w:val="6"/>
        </w:numPr>
        <w:spacing w:line="240" w:lineRule="auto"/>
        <w:rPr>
          <w:rFonts w:hint="eastAsia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實習時間：</w:t>
      </w:r>
      <w:r>
        <w:rPr>
          <w:rFonts w:ascii="Times New Roman" w:hAnsi="Times New Roman" w:cs="Times New Roman" w:hint="eastAsia"/>
          <w:sz w:val="24"/>
          <w:szCs w:val="24"/>
        </w:rPr>
        <w:t>07</w:t>
      </w:r>
      <w:r>
        <w:rPr>
          <w:rFonts w:ascii="Calibri" w:hAnsi="Calibri" w:cs="Calibri" w:hint="eastAsia"/>
          <w:sz w:val="24"/>
          <w:szCs w:val="24"/>
        </w:rPr>
        <w:t>30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-1600</w:t>
      </w:r>
    </w:p>
    <w:p w14:paraId="16FF5FDF" w14:textId="77777777" w:rsidR="007478DC" w:rsidRDefault="007478DC" w:rsidP="007478DC">
      <w:pPr>
        <w:pStyle w:val="cjk"/>
        <w:numPr>
          <w:ilvl w:val="0"/>
          <w:numId w:val="6"/>
        </w:numPr>
        <w:spacing w:line="240" w:lineRule="auto"/>
        <w:rPr>
          <w:rFonts w:hint="eastAsia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單位特性：屬於成人急性精神科病房（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34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床），主要以思考障礙和情感性精神疾患病人為主要收治對象，治療目標是以緩解急性精神症狀為主，如具有自殺、暴力傾向、</w:t>
      </w:r>
      <w:proofErr w:type="gramStart"/>
      <w:r>
        <w:rPr>
          <w:rFonts w:ascii="Times New Roman" w:hAnsi="Times New Roman" w:cs="Times New Roman" w:hint="eastAsia"/>
          <w:color w:val="000000"/>
          <w:sz w:val="24"/>
          <w:szCs w:val="24"/>
        </w:rPr>
        <w:t>情緒欠穩及</w:t>
      </w:r>
      <w:proofErr w:type="gramEnd"/>
      <w:r>
        <w:rPr>
          <w:rFonts w:ascii="Times New Roman" w:hAnsi="Times New Roman" w:cs="Times New Roman" w:hint="eastAsia"/>
          <w:color w:val="000000"/>
          <w:sz w:val="24"/>
          <w:szCs w:val="24"/>
        </w:rPr>
        <w:t>無法自我照顧者，提供安全環境、加強病患自我服藥訓練，教導病患及家屬預防復發和自我症狀處理技巧。</w:t>
      </w:r>
    </w:p>
    <w:p w14:paraId="5E0DA4DC" w14:textId="77777777" w:rsidR="007478DC" w:rsidRDefault="007478DC" w:rsidP="007478DC">
      <w:pPr>
        <w:pStyle w:val="cjk"/>
        <w:spacing w:line="240" w:lineRule="auto"/>
        <w:rPr>
          <w:rFonts w:hint="eastAsia"/>
        </w:rPr>
      </w:pPr>
      <w:r>
        <w:rPr>
          <w:rFonts w:hint="eastAsia"/>
          <w:color w:val="000000"/>
        </w:rPr>
        <w:t>◎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實習前準備及注意事項</w:t>
      </w:r>
    </w:p>
    <w:p w14:paraId="4C7A6443" w14:textId="77777777" w:rsidR="007478DC" w:rsidRDefault="007478DC" w:rsidP="007478DC">
      <w:pPr>
        <w:pStyle w:val="cjk"/>
        <w:spacing w:line="240" w:lineRule="auto"/>
        <w:rPr>
          <w:rFonts w:hint="eastAsia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一、實習前準備</w:t>
      </w:r>
    </w:p>
    <w:p w14:paraId="0E653E1A" w14:textId="77777777" w:rsidR="007478DC" w:rsidRDefault="007478DC" w:rsidP="007478DC">
      <w:pPr>
        <w:pStyle w:val="cjk"/>
        <w:numPr>
          <w:ilvl w:val="0"/>
          <w:numId w:val="7"/>
        </w:numPr>
        <w:spacing w:line="240" w:lineRule="auto"/>
        <w:rPr>
          <w:rFonts w:hint="eastAsia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依所實習單位之特性及該單位實習目標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見相關附件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作相關學理、治療理論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(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例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: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溝通技巧、治療性人際關係、行為治療…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..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等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)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、護理技術、思考障礙和情感性精神疾患及護理、藥物準備。</w:t>
      </w:r>
    </w:p>
    <w:p w14:paraId="5D0C242A" w14:textId="77777777" w:rsidR="007478DC" w:rsidRDefault="007478DC" w:rsidP="007478DC">
      <w:pPr>
        <w:pStyle w:val="cjk"/>
        <w:numPr>
          <w:ilvl w:val="0"/>
          <w:numId w:val="7"/>
        </w:numPr>
        <w:spacing w:line="240" w:lineRule="auto"/>
        <w:rPr>
          <w:rFonts w:hint="eastAsia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複習護理過程之應用。</w:t>
      </w:r>
    </w:p>
    <w:p w14:paraId="35D44C5B" w14:textId="77777777" w:rsidR="007478DC" w:rsidRDefault="007478DC" w:rsidP="007478DC">
      <w:pPr>
        <w:pStyle w:val="cjk"/>
        <w:numPr>
          <w:ilvl w:val="0"/>
          <w:numId w:val="7"/>
        </w:numPr>
        <w:spacing w:line="240" w:lineRule="auto"/>
        <w:rPr>
          <w:rFonts w:hint="eastAsia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測</w:t>
      </w:r>
      <w:r>
        <w:rPr>
          <w:rFonts w:ascii="BiauKai" w:hAnsi="BiauKai" w:hint="eastAsia"/>
          <w:color w:val="000000"/>
          <w:sz w:val="24"/>
          <w:szCs w:val="24"/>
        </w:rPr>
        <w:t>驗：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精神科常見之診斷及常用精神科藥物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。</w:t>
      </w:r>
    </w:p>
    <w:p w14:paraId="2C820485" w14:textId="77777777" w:rsidR="007478DC" w:rsidRDefault="007478DC" w:rsidP="007478DC">
      <w:pPr>
        <w:pStyle w:val="cjk"/>
        <w:numPr>
          <w:ilvl w:val="0"/>
          <w:numId w:val="7"/>
        </w:numPr>
        <w:spacing w:line="240" w:lineRule="auto"/>
        <w:rPr>
          <w:rFonts w:hint="eastAsia"/>
        </w:rPr>
      </w:pPr>
      <w:proofErr w:type="gramStart"/>
      <w:r>
        <w:rPr>
          <w:rFonts w:ascii="Times New Roman" w:hAnsi="Times New Roman" w:cs="Times New Roman" w:hint="eastAsia"/>
          <w:color w:val="000000"/>
          <w:sz w:val="24"/>
          <w:szCs w:val="24"/>
        </w:rPr>
        <w:t>藥卡製作</w:t>
      </w:r>
      <w:proofErr w:type="gramEnd"/>
      <w:r>
        <w:rPr>
          <w:rFonts w:ascii="Times New Roman" w:hAnsi="Times New Roman" w:cs="Times New Roman" w:hint="eastAsia"/>
          <w:color w:val="000000"/>
          <w:sz w:val="24"/>
          <w:szCs w:val="24"/>
        </w:rPr>
        <w:t>：含作用機轉、適應症、副作用、護理措施。</w:t>
      </w:r>
    </w:p>
    <w:p w14:paraId="12F42468" w14:textId="77777777" w:rsidR="007478DC" w:rsidRDefault="007478DC" w:rsidP="007478DC">
      <w:pPr>
        <w:pStyle w:val="cjk"/>
        <w:spacing w:line="240" w:lineRule="auto"/>
        <w:rPr>
          <w:rFonts w:hint="eastAsia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二、服裝儀容要求</w:t>
      </w:r>
    </w:p>
    <w:p w14:paraId="3B256533" w14:textId="77777777" w:rsidR="007478DC" w:rsidRDefault="007478DC" w:rsidP="007478DC">
      <w:pPr>
        <w:pStyle w:val="cjk"/>
        <w:numPr>
          <w:ilvl w:val="0"/>
          <w:numId w:val="8"/>
        </w:numPr>
        <w:spacing w:line="240" w:lineRule="auto"/>
        <w:rPr>
          <w:rFonts w:hint="eastAsia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著實習</w:t>
      </w:r>
      <w:r>
        <w:rPr>
          <w:rFonts w:ascii="BiauKai" w:hAnsi="BiauKai" w:hint="eastAsia"/>
          <w:color w:val="000000"/>
          <w:sz w:val="24"/>
          <w:szCs w:val="24"/>
        </w:rPr>
        <w:t>服，</w:t>
      </w:r>
      <w:proofErr w:type="gramStart"/>
      <w:r>
        <w:rPr>
          <w:rFonts w:ascii="Times New Roman" w:hAnsi="Times New Roman" w:cs="Times New Roman" w:hint="eastAsia"/>
          <w:color w:val="000000"/>
          <w:sz w:val="24"/>
          <w:szCs w:val="24"/>
        </w:rPr>
        <w:t>護士鞋須潔白</w:t>
      </w:r>
      <w:proofErr w:type="gramEnd"/>
      <w:r>
        <w:rPr>
          <w:rFonts w:ascii="Times New Roman" w:hAnsi="Times New Roman" w:cs="Times New Roman" w:hint="eastAsia"/>
          <w:color w:val="000000"/>
          <w:sz w:val="24"/>
          <w:szCs w:val="24"/>
        </w:rPr>
        <w:t>。指甲須修剪整齊不可塗有色指甲</w:t>
      </w:r>
      <w:r>
        <w:rPr>
          <w:rFonts w:ascii="BiauKai" w:hAnsi="BiauKai" w:hint="eastAsia"/>
          <w:color w:val="000000"/>
          <w:sz w:val="24"/>
          <w:szCs w:val="24"/>
        </w:rPr>
        <w:t>油，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勿穿戴耳飾及手</w:t>
      </w:r>
      <w:proofErr w:type="gramStart"/>
      <w:r>
        <w:rPr>
          <w:rFonts w:ascii="Times New Roman" w:hAnsi="Times New Roman" w:cs="Times New Roman" w:hint="eastAsia"/>
          <w:color w:val="000000"/>
          <w:sz w:val="24"/>
          <w:szCs w:val="24"/>
        </w:rPr>
        <w:t>鍊</w:t>
      </w:r>
      <w:proofErr w:type="gramEnd"/>
      <w:r>
        <w:rPr>
          <w:rFonts w:ascii="Times New Roman" w:hAnsi="Times New Roman" w:cs="Times New Roman" w:hint="eastAsia"/>
          <w:color w:val="000000"/>
          <w:sz w:val="24"/>
          <w:szCs w:val="24"/>
        </w:rPr>
        <w:t>、戒指。。</w:t>
      </w:r>
    </w:p>
    <w:p w14:paraId="24A830F1" w14:textId="77777777" w:rsidR="007478DC" w:rsidRDefault="007478DC" w:rsidP="007478DC">
      <w:pPr>
        <w:pStyle w:val="cjk"/>
        <w:numPr>
          <w:ilvl w:val="0"/>
          <w:numId w:val="8"/>
        </w:numPr>
        <w:spacing w:line="240" w:lineRule="auto"/>
        <w:rPr>
          <w:rFonts w:hint="eastAsia"/>
        </w:rPr>
      </w:pPr>
      <w:proofErr w:type="gramStart"/>
      <w:r>
        <w:rPr>
          <w:rFonts w:ascii="Times New Roman" w:hAnsi="Times New Roman" w:cs="Times New Roman" w:hint="eastAsia"/>
          <w:color w:val="000000"/>
          <w:sz w:val="24"/>
          <w:szCs w:val="24"/>
        </w:rPr>
        <w:t>髮</w:t>
      </w:r>
      <w:proofErr w:type="gramEnd"/>
      <w:r>
        <w:rPr>
          <w:rFonts w:ascii="Times New Roman" w:hAnsi="Times New Roman" w:cs="Times New Roman" w:hint="eastAsia"/>
          <w:color w:val="000000"/>
          <w:sz w:val="24"/>
          <w:szCs w:val="24"/>
        </w:rPr>
        <w:t>長及</w:t>
      </w:r>
      <w:proofErr w:type="gramStart"/>
      <w:r>
        <w:rPr>
          <w:rFonts w:ascii="Times New Roman" w:hAnsi="Times New Roman" w:cs="Times New Roman" w:hint="eastAsia"/>
          <w:color w:val="000000"/>
          <w:sz w:val="24"/>
          <w:szCs w:val="24"/>
        </w:rPr>
        <w:t>肩者須盤於</w:t>
      </w:r>
      <w:proofErr w:type="gramEnd"/>
      <w:r>
        <w:rPr>
          <w:rFonts w:ascii="Times New Roman" w:hAnsi="Times New Roman" w:cs="Times New Roman" w:hint="eastAsia"/>
          <w:color w:val="000000"/>
          <w:sz w:val="24"/>
          <w:szCs w:val="24"/>
        </w:rPr>
        <w:t>腦後。頭髮不可凌亂散於前</w:t>
      </w:r>
      <w:r>
        <w:rPr>
          <w:rFonts w:ascii="BiauKai" w:hAnsi="BiauKai" w:hint="eastAsia"/>
          <w:color w:val="000000"/>
          <w:sz w:val="24"/>
          <w:szCs w:val="24"/>
        </w:rPr>
        <w:t>額，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須以髮網固定整齊。</w:t>
      </w:r>
    </w:p>
    <w:p w14:paraId="636A581A" w14:textId="77777777" w:rsidR="007478DC" w:rsidRDefault="007478DC" w:rsidP="007478DC">
      <w:pPr>
        <w:pStyle w:val="cjk"/>
        <w:numPr>
          <w:ilvl w:val="0"/>
          <w:numId w:val="8"/>
        </w:numPr>
        <w:spacing w:line="240" w:lineRule="auto"/>
        <w:rPr>
          <w:rFonts w:hint="eastAsia"/>
        </w:rPr>
      </w:pPr>
      <w:proofErr w:type="gramStart"/>
      <w:r>
        <w:rPr>
          <w:rFonts w:ascii="Times New Roman" w:hAnsi="Times New Roman" w:cs="Times New Roman" w:hint="eastAsia"/>
          <w:color w:val="000000"/>
          <w:sz w:val="24"/>
          <w:szCs w:val="24"/>
        </w:rPr>
        <w:t>應著</w:t>
      </w:r>
      <w:proofErr w:type="gramEnd"/>
      <w:r>
        <w:rPr>
          <w:rFonts w:ascii="Times New Roman" w:hAnsi="Times New Roman" w:cs="Times New Roman" w:hint="eastAsia"/>
          <w:color w:val="000000"/>
          <w:sz w:val="24"/>
          <w:szCs w:val="24"/>
        </w:rPr>
        <w:t>便服至院內更換實習服裝。</w:t>
      </w:r>
    </w:p>
    <w:p w14:paraId="01C2D363" w14:textId="77777777" w:rsidR="007478DC" w:rsidRDefault="007478DC" w:rsidP="007478DC">
      <w:pPr>
        <w:pStyle w:val="cjk"/>
        <w:numPr>
          <w:ilvl w:val="0"/>
          <w:numId w:val="8"/>
        </w:numPr>
        <w:spacing w:line="240" w:lineRule="auto"/>
        <w:rPr>
          <w:rFonts w:hint="eastAsia"/>
        </w:rPr>
      </w:pPr>
      <w:proofErr w:type="gramStart"/>
      <w:r>
        <w:rPr>
          <w:rFonts w:ascii="Times New Roman" w:hAnsi="Times New Roman" w:cs="Times New Roman" w:hint="eastAsia"/>
          <w:color w:val="000000"/>
          <w:sz w:val="24"/>
          <w:szCs w:val="24"/>
        </w:rPr>
        <w:t>其餘服儀之</w:t>
      </w:r>
      <w:proofErr w:type="gramEnd"/>
      <w:r>
        <w:rPr>
          <w:rFonts w:ascii="Times New Roman" w:hAnsi="Times New Roman" w:cs="Times New Roman" w:hint="eastAsia"/>
          <w:color w:val="000000"/>
          <w:sz w:val="24"/>
          <w:szCs w:val="24"/>
        </w:rPr>
        <w:t>要求參照實習手冊之規定。</w:t>
      </w:r>
    </w:p>
    <w:p w14:paraId="2A342CB2" w14:textId="77777777" w:rsidR="007478DC" w:rsidRDefault="007478DC" w:rsidP="007478DC">
      <w:pPr>
        <w:pStyle w:val="cjk"/>
        <w:spacing w:line="240" w:lineRule="auto"/>
        <w:rPr>
          <w:rFonts w:hint="eastAsia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三、上班時間</w:t>
      </w:r>
    </w:p>
    <w:p w14:paraId="2EA37731" w14:textId="77777777" w:rsidR="007478DC" w:rsidRDefault="007478DC" w:rsidP="007478DC">
      <w:pPr>
        <w:pStyle w:val="cjk"/>
        <w:numPr>
          <w:ilvl w:val="0"/>
          <w:numId w:val="9"/>
        </w:numPr>
        <w:spacing w:line="240" w:lineRule="auto"/>
        <w:rPr>
          <w:rFonts w:hint="eastAsia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第一天報到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早上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 xml:space="preserve"> 07:50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門診大廳處集合</w:t>
      </w:r>
    </w:p>
    <w:p w14:paraId="50206B11" w14:textId="77777777" w:rsidR="007478DC" w:rsidRDefault="007478DC" w:rsidP="007478DC">
      <w:pPr>
        <w:pStyle w:val="cjk"/>
        <w:numPr>
          <w:ilvl w:val="0"/>
          <w:numId w:val="9"/>
        </w:numPr>
        <w:spacing w:line="240" w:lineRule="auto"/>
        <w:rPr>
          <w:rFonts w:hint="eastAsia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lastRenderedPageBreak/>
        <w:t>實習上班時間</w:t>
      </w:r>
      <w:r>
        <w:rPr>
          <w:rFonts w:ascii="Times New Roman" w:hAnsi="Times New Roman" w:cs="Times New Roman" w:hint="eastAsia"/>
          <w:sz w:val="24"/>
          <w:szCs w:val="24"/>
        </w:rPr>
        <w:t>: 07:</w:t>
      </w:r>
      <w:r>
        <w:rPr>
          <w:rFonts w:ascii="Calibri" w:hAnsi="Calibri" w:cs="Calibri" w:hint="eastAsia"/>
          <w:sz w:val="24"/>
          <w:szCs w:val="24"/>
        </w:rPr>
        <w:t>30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AM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至</w:t>
      </w:r>
      <w:r>
        <w:rPr>
          <w:rFonts w:ascii="Times New Roman" w:hAnsi="Times New Roman" w:cs="Times New Roman" w:hint="eastAsia"/>
          <w:sz w:val="24"/>
          <w:szCs w:val="24"/>
        </w:rPr>
        <w:t>16:00 PM (</w:t>
      </w:r>
      <w:r>
        <w:rPr>
          <w:rFonts w:ascii="Times New Roman" w:hAnsi="Times New Roman" w:cs="Times New Roman" w:hint="eastAsia"/>
          <w:sz w:val="24"/>
          <w:szCs w:val="24"/>
        </w:rPr>
        <w:t>因需要協助全病房病人測量生命徵象，請提早</w:t>
      </w:r>
      <w:r>
        <w:rPr>
          <w:rFonts w:ascii="Times New Roman" w:hAnsi="Times New Roman" w:cs="Times New Roman" w:hint="eastAsia"/>
          <w:sz w:val="24"/>
          <w:szCs w:val="24"/>
        </w:rPr>
        <w:t>20</w:t>
      </w:r>
      <w:r>
        <w:rPr>
          <w:rFonts w:ascii="Times New Roman" w:hAnsi="Times New Roman" w:cs="Times New Roman" w:hint="eastAsia"/>
          <w:sz w:val="24"/>
          <w:szCs w:val="24"/>
        </w:rPr>
        <w:t>分鐘到病房，下班時間整組學生一起離開病房；因病房特性關係，學生若實習期間請假或遲到不予補實習，依規定以扣實習總成績為主</w:t>
      </w:r>
      <w:r>
        <w:rPr>
          <w:rFonts w:ascii="Times New Roman" w:hAnsi="Times New Roman" w:cs="Times New Roman" w:hint="eastAsia"/>
          <w:sz w:val="24"/>
          <w:szCs w:val="24"/>
        </w:rPr>
        <w:t>)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14:paraId="06B843F8" w14:textId="77777777" w:rsidR="007478DC" w:rsidRDefault="007478DC" w:rsidP="007478DC">
      <w:pPr>
        <w:pStyle w:val="cjk"/>
        <w:numPr>
          <w:ilvl w:val="0"/>
          <w:numId w:val="9"/>
        </w:numPr>
        <w:spacing w:line="240" w:lineRule="auto"/>
        <w:rPr>
          <w:rFonts w:hint="eastAsia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請假或因故會遲到</w:t>
      </w:r>
      <w:r>
        <w:rPr>
          <w:rFonts w:ascii="BiauKai" w:hAnsi="BiauKai" w:hint="eastAsia"/>
          <w:color w:val="000000"/>
          <w:sz w:val="24"/>
          <w:szCs w:val="24"/>
        </w:rPr>
        <w:t>時，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須事先電話通知實習老師完成請假或說</w:t>
      </w:r>
      <w:r>
        <w:rPr>
          <w:rFonts w:ascii="BiauKai" w:hAnsi="BiauKai" w:hint="eastAsia"/>
          <w:color w:val="000000"/>
          <w:sz w:val="24"/>
          <w:szCs w:val="24"/>
        </w:rPr>
        <w:t>明，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實習老師同意後才算完成請假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>不可由同學代請</w:t>
      </w:r>
      <w:r>
        <w:rPr>
          <w:rFonts w:ascii="BiauKai" w:hAnsi="BiauKai" w:cs="Calibri" w:hint="eastAsia"/>
          <w:color w:val="000000"/>
          <w:sz w:val="24"/>
          <w:szCs w:val="24"/>
        </w:rPr>
        <w:t>假，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未依規定辦理者視為</w:t>
      </w:r>
      <w:proofErr w:type="gramStart"/>
      <w:r>
        <w:rPr>
          <w:rFonts w:ascii="Times New Roman" w:hAnsi="Times New Roman" w:cs="Times New Roman" w:hint="eastAsia"/>
          <w:color w:val="000000"/>
          <w:sz w:val="24"/>
          <w:szCs w:val="24"/>
        </w:rPr>
        <w:t>曠</w:t>
      </w:r>
      <w:proofErr w:type="gramEnd"/>
      <w:r>
        <w:rPr>
          <w:rFonts w:ascii="Times New Roman" w:hAnsi="Times New Roman" w:cs="Times New Roman" w:hint="eastAsia"/>
          <w:color w:val="000000"/>
          <w:sz w:val="24"/>
          <w:szCs w:val="24"/>
        </w:rPr>
        <w:t>班。</w:t>
      </w:r>
    </w:p>
    <w:p w14:paraId="66143DEF" w14:textId="77777777" w:rsidR="007478DC" w:rsidRDefault="007478DC" w:rsidP="007478DC">
      <w:pPr>
        <w:pStyle w:val="cjk"/>
        <w:numPr>
          <w:ilvl w:val="0"/>
          <w:numId w:val="9"/>
        </w:numPr>
        <w:spacing w:line="240" w:lineRule="auto"/>
        <w:rPr>
          <w:rFonts w:hint="eastAsia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其餘相關事項依實習手冊之規定遵守。</w:t>
      </w:r>
    </w:p>
    <w:p w14:paraId="3198E68C" w14:textId="77777777" w:rsidR="007478DC" w:rsidRDefault="007478DC" w:rsidP="007478DC">
      <w:pPr>
        <w:pStyle w:val="cjk"/>
        <w:spacing w:line="240" w:lineRule="auto"/>
        <w:rPr>
          <w:rFonts w:hint="eastAsia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四、其它注意事項</w:t>
      </w:r>
    </w:p>
    <w:p w14:paraId="51D151D7" w14:textId="77777777" w:rsidR="007478DC" w:rsidRDefault="007478DC" w:rsidP="007478DC">
      <w:pPr>
        <w:pStyle w:val="cjk"/>
        <w:numPr>
          <w:ilvl w:val="0"/>
          <w:numId w:val="10"/>
        </w:numPr>
        <w:spacing w:line="240" w:lineRule="auto"/>
        <w:rPr>
          <w:rFonts w:hint="eastAsia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注意個人的態度及禮貌。說話音量宜放低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,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勿大聲喧嘩或嬉鬧。</w:t>
      </w:r>
    </w:p>
    <w:p w14:paraId="663D7BCC" w14:textId="77777777" w:rsidR="007478DC" w:rsidRDefault="007478DC" w:rsidP="007478DC">
      <w:pPr>
        <w:pStyle w:val="cjk"/>
        <w:numPr>
          <w:ilvl w:val="0"/>
          <w:numId w:val="10"/>
        </w:numPr>
        <w:spacing w:line="240" w:lineRule="auto"/>
        <w:rPr>
          <w:rFonts w:hint="eastAsia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實習期間不得接受或支援病人物品。與男性病人應保持安全距離，防性騷擾、暴力。</w:t>
      </w:r>
    </w:p>
    <w:p w14:paraId="5FC32104" w14:textId="77777777" w:rsidR="007478DC" w:rsidRDefault="007478DC" w:rsidP="007478DC">
      <w:pPr>
        <w:pStyle w:val="cjk"/>
        <w:spacing w:line="240" w:lineRule="auto"/>
        <w:ind w:left="-45"/>
        <w:rPr>
          <w:rFonts w:hint="eastAsia"/>
        </w:rPr>
      </w:pPr>
      <w:r>
        <w:rPr>
          <w:rFonts w:hint="eastAsia"/>
          <w:color w:val="000000"/>
        </w:rPr>
        <w:t>◎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精神科實習見習指引</w:t>
      </w:r>
    </w:p>
    <w:p w14:paraId="5BD68379" w14:textId="77777777" w:rsidR="007478DC" w:rsidRDefault="007478DC" w:rsidP="007478DC">
      <w:pPr>
        <w:pStyle w:val="cjk"/>
        <w:spacing w:line="240" w:lineRule="auto"/>
        <w:ind w:left="-45"/>
        <w:rPr>
          <w:rFonts w:hint="eastAsia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一、門診見習：</w:t>
      </w:r>
    </w:p>
    <w:p w14:paraId="4F7E9DCF" w14:textId="77777777" w:rsidR="007478DC" w:rsidRDefault="007478DC" w:rsidP="007478DC">
      <w:pPr>
        <w:pStyle w:val="cjk"/>
        <w:spacing w:line="240" w:lineRule="auto"/>
        <w:ind w:left="420"/>
        <w:rPr>
          <w:rFonts w:hint="eastAsia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1.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了解門診就業程序及追蹤管理病人的方法。</w:t>
      </w:r>
    </w:p>
    <w:p w14:paraId="4778FAC5" w14:textId="77777777" w:rsidR="007478DC" w:rsidRDefault="007478DC" w:rsidP="007478DC">
      <w:pPr>
        <w:pStyle w:val="cjk"/>
        <w:spacing w:line="240" w:lineRule="auto"/>
        <w:ind w:left="420"/>
        <w:rPr>
          <w:rFonts w:hint="eastAsia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2.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觀察初診個案評估方式、會談技巧及治療方式。</w:t>
      </w:r>
    </w:p>
    <w:p w14:paraId="073938FA" w14:textId="77777777" w:rsidR="007478DC" w:rsidRDefault="007478DC" w:rsidP="007478DC">
      <w:pPr>
        <w:pStyle w:val="cjk"/>
        <w:spacing w:line="240" w:lineRule="auto"/>
        <w:ind w:left="420"/>
        <w:rPr>
          <w:rFonts w:hint="eastAsia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3.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認識門診病人特性、治療目標及社區適應狀況。</w:t>
      </w:r>
    </w:p>
    <w:p w14:paraId="394B8764" w14:textId="77777777" w:rsidR="007478DC" w:rsidRDefault="007478DC" w:rsidP="007478DC">
      <w:pPr>
        <w:pStyle w:val="cjk"/>
        <w:spacing w:line="240" w:lineRule="auto"/>
        <w:ind w:left="420"/>
        <w:rPr>
          <w:rFonts w:hint="eastAsia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4.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了解門診護理人員的角色與功能。</w:t>
      </w:r>
    </w:p>
    <w:p w14:paraId="2195E67D" w14:textId="77777777" w:rsidR="007478DC" w:rsidRDefault="007478DC" w:rsidP="007478DC">
      <w:pPr>
        <w:pStyle w:val="cjk"/>
        <w:spacing w:line="240" w:lineRule="auto"/>
        <w:rPr>
          <w:rFonts w:hint="eastAsia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二、日間病房見習重點：</w:t>
      </w:r>
    </w:p>
    <w:p w14:paraId="0EB8171D" w14:textId="77777777" w:rsidR="007478DC" w:rsidRDefault="007478DC" w:rsidP="007478DC">
      <w:pPr>
        <w:pStyle w:val="cjk"/>
        <w:spacing w:line="240" w:lineRule="auto"/>
        <w:ind w:left="363"/>
        <w:rPr>
          <w:rFonts w:hint="eastAsia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1.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觀察個案診斷、症狀及溝通方式。</w:t>
      </w:r>
    </w:p>
    <w:p w14:paraId="475B74DF" w14:textId="77777777" w:rsidR="007478DC" w:rsidRDefault="007478DC" w:rsidP="007478DC">
      <w:pPr>
        <w:pStyle w:val="cjk"/>
        <w:spacing w:line="240" w:lineRule="auto"/>
        <w:ind w:left="363"/>
        <w:rPr>
          <w:rFonts w:hint="eastAsia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2.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認識活動設計之特質及目標。</w:t>
      </w:r>
    </w:p>
    <w:p w14:paraId="1A9F77D7" w14:textId="77777777" w:rsidR="007478DC" w:rsidRDefault="007478DC" w:rsidP="007478DC">
      <w:pPr>
        <w:pStyle w:val="cjk"/>
        <w:spacing w:line="240" w:lineRule="auto"/>
        <w:ind w:left="363"/>
        <w:rPr>
          <w:rFonts w:hint="eastAsia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3.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了解病患的生活功能，疾病適應及社會適應之復健及學習。</w:t>
      </w:r>
    </w:p>
    <w:p w14:paraId="72C52B00" w14:textId="77777777" w:rsidR="007478DC" w:rsidRDefault="007478DC" w:rsidP="007478DC">
      <w:pPr>
        <w:pStyle w:val="cjk"/>
        <w:spacing w:line="240" w:lineRule="auto"/>
        <w:ind w:left="-45"/>
        <w:rPr>
          <w:rFonts w:hint="eastAsia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三、職能治療見習重點：</w:t>
      </w:r>
    </w:p>
    <w:p w14:paraId="110F8C2C" w14:textId="77777777" w:rsidR="007478DC" w:rsidRDefault="007478DC" w:rsidP="007478DC">
      <w:pPr>
        <w:pStyle w:val="cjk"/>
        <w:spacing w:line="240" w:lineRule="auto"/>
        <w:ind w:left="363"/>
        <w:rPr>
          <w:rFonts w:hint="eastAsia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1.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認識職能治療之功能。</w:t>
      </w:r>
    </w:p>
    <w:p w14:paraId="1C81407D" w14:textId="77777777" w:rsidR="007478DC" w:rsidRDefault="007478DC" w:rsidP="007478DC">
      <w:pPr>
        <w:pStyle w:val="cjk"/>
        <w:spacing w:line="240" w:lineRule="auto"/>
        <w:ind w:left="363"/>
        <w:rPr>
          <w:rFonts w:hint="eastAsia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2.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認識職能治療活動之設計。</w:t>
      </w:r>
    </w:p>
    <w:p w14:paraId="2593C059" w14:textId="77777777" w:rsidR="007478DC" w:rsidRDefault="007478DC" w:rsidP="007478DC">
      <w:pPr>
        <w:pStyle w:val="cjk"/>
        <w:spacing w:line="240" w:lineRule="auto"/>
        <w:ind w:left="363"/>
        <w:rPr>
          <w:rFonts w:hint="eastAsia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3.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了解職能治療之評估重點</w:t>
      </w:r>
      <w:proofErr w:type="gramStart"/>
      <w:r>
        <w:rPr>
          <w:rFonts w:ascii="Times New Roman" w:hAnsi="Times New Roman" w:cs="Times New Roman" w:hint="eastAsia"/>
          <w:color w:val="000000"/>
          <w:sz w:val="24"/>
          <w:szCs w:val="24"/>
        </w:rPr>
        <w:t>及評值</w:t>
      </w:r>
      <w:proofErr w:type="gramEnd"/>
      <w:r>
        <w:rPr>
          <w:rFonts w:ascii="Times New Roman" w:hAnsi="Times New Roman" w:cs="Times New Roman" w:hint="eastAsia"/>
          <w:color w:val="000000"/>
          <w:sz w:val="24"/>
          <w:szCs w:val="24"/>
        </w:rPr>
        <w:t>。</w:t>
      </w:r>
    </w:p>
    <w:p w14:paraId="3046CE01" w14:textId="77777777" w:rsidR="007478DC" w:rsidRDefault="007478DC" w:rsidP="007478DC">
      <w:pPr>
        <w:pStyle w:val="cjk"/>
        <w:spacing w:line="240" w:lineRule="auto"/>
        <w:ind w:left="-45"/>
        <w:rPr>
          <w:rFonts w:hint="eastAsia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四、團體治療見習：</w:t>
      </w:r>
    </w:p>
    <w:p w14:paraId="2759D4A1" w14:textId="77777777" w:rsidR="007478DC" w:rsidRDefault="007478DC" w:rsidP="007478DC">
      <w:pPr>
        <w:pStyle w:val="cjk"/>
        <w:spacing w:line="240" w:lineRule="auto"/>
        <w:ind w:left="420"/>
        <w:rPr>
          <w:rFonts w:hint="eastAsia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1.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病人在團體中表現及意義。</w:t>
      </w:r>
    </w:p>
    <w:p w14:paraId="3C3EFD47" w14:textId="77777777" w:rsidR="007478DC" w:rsidRDefault="007478DC" w:rsidP="007478DC">
      <w:pPr>
        <w:pStyle w:val="cjk"/>
        <w:spacing w:line="240" w:lineRule="auto"/>
        <w:ind w:left="420"/>
        <w:rPr>
          <w:rFonts w:hint="eastAsia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lastRenderedPageBreak/>
        <w:t>2.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依</w:t>
      </w:r>
      <w:proofErr w:type="spellStart"/>
      <w:r>
        <w:rPr>
          <w:rFonts w:ascii="Times New Roman" w:hAnsi="Times New Roman" w:cs="Times New Roman" w:hint="eastAsia"/>
          <w:color w:val="000000"/>
          <w:sz w:val="24"/>
          <w:szCs w:val="24"/>
        </w:rPr>
        <w:t>Yalom</w:t>
      </w:r>
      <w:proofErr w:type="spellEnd"/>
      <w:r>
        <w:rPr>
          <w:rFonts w:ascii="Times New Roman" w:hAnsi="Times New Roman" w:cs="Times New Roman" w:hint="eastAsia"/>
          <w:color w:val="000000"/>
          <w:sz w:val="24"/>
          <w:szCs w:val="24"/>
        </w:rPr>
        <w:t>團體治療理論因素說明觀察團體所具有的功能。</w:t>
      </w:r>
    </w:p>
    <w:p w14:paraId="57876FFF" w14:textId="77777777" w:rsidR="007478DC" w:rsidRDefault="007478DC" w:rsidP="007478DC">
      <w:pPr>
        <w:pStyle w:val="cjk"/>
        <w:spacing w:line="240" w:lineRule="auto"/>
        <w:ind w:left="420"/>
        <w:rPr>
          <w:rFonts w:hint="eastAsia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3.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觀察團體治療者之角色功能。</w:t>
      </w:r>
    </w:p>
    <w:p w14:paraId="01E0765D" w14:textId="77777777" w:rsidR="007478DC" w:rsidRDefault="007478DC" w:rsidP="007478DC">
      <w:pPr>
        <w:pStyle w:val="cjk"/>
        <w:spacing w:line="240" w:lineRule="auto"/>
        <w:ind w:left="420"/>
        <w:rPr>
          <w:rFonts w:hint="eastAsia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4.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學習如何運用團體治療原則來設計及執行團體活動。</w:t>
      </w:r>
    </w:p>
    <w:p w14:paraId="1B297068" w14:textId="77777777" w:rsidR="007478DC" w:rsidRDefault="007478DC" w:rsidP="007478DC">
      <w:pPr>
        <w:pStyle w:val="cjk"/>
        <w:spacing w:line="240" w:lineRule="auto"/>
        <w:ind w:left="-45"/>
        <w:rPr>
          <w:rFonts w:hint="eastAsia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五、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ECT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治療觀察指引：</w:t>
      </w:r>
    </w:p>
    <w:p w14:paraId="1FC9F61D" w14:textId="77777777" w:rsidR="007478DC" w:rsidRDefault="007478DC" w:rsidP="007478DC">
      <w:pPr>
        <w:pStyle w:val="cjk"/>
        <w:spacing w:line="240" w:lineRule="auto"/>
        <w:ind w:left="420"/>
        <w:rPr>
          <w:rFonts w:hint="eastAsia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1.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了解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ECT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治療原則。</w:t>
      </w:r>
    </w:p>
    <w:p w14:paraId="21F38716" w14:textId="77777777" w:rsidR="007478DC" w:rsidRDefault="007478DC" w:rsidP="007478DC">
      <w:pPr>
        <w:pStyle w:val="cjk"/>
        <w:spacing w:line="240" w:lineRule="auto"/>
        <w:ind w:left="420"/>
        <w:rPr>
          <w:rFonts w:hint="eastAsia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2.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了解並提供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ECT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執行前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,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執行中及執行後之護理。</w:t>
      </w:r>
    </w:p>
    <w:p w14:paraId="16921496" w14:textId="77777777" w:rsidR="007478DC" w:rsidRDefault="007478DC" w:rsidP="007478DC">
      <w:pPr>
        <w:pStyle w:val="cjk"/>
        <w:spacing w:line="240" w:lineRule="auto"/>
        <w:ind w:left="420"/>
        <w:rPr>
          <w:rFonts w:hint="eastAsia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3.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協助處理病人對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ECT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治療的感覺及反應。</w:t>
      </w:r>
    </w:p>
    <w:p w14:paraId="7D2C7DCE" w14:textId="77777777" w:rsidR="007478DC" w:rsidRDefault="007478DC" w:rsidP="007478DC">
      <w:pPr>
        <w:pStyle w:val="cjk"/>
        <w:spacing w:line="240" w:lineRule="auto"/>
        <w:ind w:left="-45"/>
        <w:rPr>
          <w:rFonts w:hint="eastAsia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六、小組討論重點：</w:t>
      </w:r>
    </w:p>
    <w:p w14:paraId="2EE33455" w14:textId="77777777" w:rsidR="007478DC" w:rsidRDefault="007478DC" w:rsidP="007478DC">
      <w:pPr>
        <w:pStyle w:val="cjk"/>
        <w:spacing w:line="240" w:lineRule="auto"/>
        <w:ind w:left="363"/>
        <w:rPr>
          <w:rFonts w:hint="eastAsia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1.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依據護理過程討論個案照顧及護理心得。</w:t>
      </w:r>
    </w:p>
    <w:p w14:paraId="5D5B7B51" w14:textId="77777777" w:rsidR="007478DC" w:rsidRDefault="007478DC" w:rsidP="007478DC">
      <w:pPr>
        <w:pStyle w:val="cjk"/>
        <w:spacing w:line="240" w:lineRule="auto"/>
        <w:ind w:left="363"/>
        <w:rPr>
          <w:rFonts w:hint="eastAsia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2.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討論精神科之學理及相關理論與臨床實務之配合與應用。</w:t>
      </w:r>
    </w:p>
    <w:p w14:paraId="1996B57C" w14:textId="77777777" w:rsidR="007478DC" w:rsidRDefault="007478DC" w:rsidP="007478DC">
      <w:pPr>
        <w:pStyle w:val="cjk"/>
        <w:spacing w:line="240" w:lineRule="auto"/>
        <w:ind w:left="363"/>
        <w:rPr>
          <w:rFonts w:hint="eastAsia"/>
        </w:rPr>
      </w:pPr>
      <w:r>
        <w:rPr>
          <w:rFonts w:ascii="Times New Roman" w:hAnsi="Times New Roman" w:cs="Times New Roman" w:hint="eastAsia"/>
          <w:color w:val="000000"/>
          <w:sz w:val="24"/>
          <w:szCs w:val="24"/>
        </w:rPr>
        <w:t>3.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實習目標之</w:t>
      </w:r>
      <w:proofErr w:type="gramStart"/>
      <w:r>
        <w:rPr>
          <w:rFonts w:ascii="Times New Roman" w:hAnsi="Times New Roman" w:cs="Times New Roman" w:hint="eastAsia"/>
          <w:color w:val="000000"/>
          <w:sz w:val="24"/>
          <w:szCs w:val="24"/>
        </w:rPr>
        <w:t>自我評值</w:t>
      </w:r>
      <w:proofErr w:type="gramEnd"/>
      <w:r>
        <w:rPr>
          <w:rFonts w:ascii="Times New Roman" w:hAnsi="Times New Roman" w:cs="Times New Roman" w:hint="eastAsia"/>
          <w:color w:val="000000"/>
          <w:sz w:val="24"/>
          <w:szCs w:val="24"/>
        </w:rPr>
        <w:t>。</w:t>
      </w:r>
    </w:p>
    <w:p w14:paraId="45BD0E78" w14:textId="77777777" w:rsidR="007478DC" w:rsidRDefault="007478DC" w:rsidP="007478DC">
      <w:pPr>
        <w:pStyle w:val="cjk"/>
        <w:spacing w:line="240" w:lineRule="auto"/>
        <w:ind w:firstLineChars="150" w:firstLine="360"/>
        <w:rPr>
          <w:rFonts w:hint="eastAsia"/>
        </w:rPr>
      </w:pPr>
      <w:bookmarkStart w:id="0" w:name="_GoBack"/>
      <w:bookmarkEnd w:id="0"/>
      <w:r>
        <w:rPr>
          <w:rFonts w:ascii="Times New Roman" w:hAnsi="Times New Roman" w:cs="Times New Roman" w:hint="eastAsia"/>
          <w:color w:val="000000"/>
          <w:sz w:val="24"/>
          <w:szCs w:val="24"/>
        </w:rPr>
        <w:t>4.</w:t>
      </w:r>
      <w:r>
        <w:rPr>
          <w:rFonts w:ascii="Times New Roman" w:hAnsi="Times New Roman" w:cs="Times New Roman" w:hint="eastAsia"/>
          <w:color w:val="000000"/>
          <w:sz w:val="24"/>
          <w:szCs w:val="24"/>
        </w:rPr>
        <w:t>教學活動：讀書報告、個案報告、臨床實務討論。</w:t>
      </w:r>
    </w:p>
    <w:p w14:paraId="0000003D" w14:textId="77777777" w:rsidR="00BA391A" w:rsidRPr="007478DC" w:rsidRDefault="00BA391A" w:rsidP="007478DC">
      <w:pPr>
        <w:ind w:left="0" w:hanging="3"/>
      </w:pPr>
    </w:p>
    <w:sectPr w:rsidR="00BA391A" w:rsidRPr="007478DC">
      <w:footerReference w:type="even" r:id="rId7"/>
      <w:footerReference w:type="default" r:id="rId8"/>
      <w:pgSz w:w="11906" w:h="16838"/>
      <w:pgMar w:top="1440" w:right="1797" w:bottom="1440" w:left="1662" w:header="851" w:footer="992" w:gutter="0"/>
      <w:cols w:space="720" w:equalWidth="0">
        <w:col w:w="86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3C046" w14:textId="77777777" w:rsidR="00000000" w:rsidRDefault="007478DC">
      <w:pPr>
        <w:spacing w:line="240" w:lineRule="auto"/>
        <w:ind w:left="0" w:hanging="3"/>
      </w:pPr>
      <w:r>
        <w:separator/>
      </w:r>
    </w:p>
  </w:endnote>
  <w:endnote w:type="continuationSeparator" w:id="0">
    <w:p w14:paraId="09CB1C10" w14:textId="77777777" w:rsidR="00000000" w:rsidRDefault="007478DC">
      <w:pPr>
        <w:spacing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auKai">
    <w:altName w:val="Times New Roman"/>
    <w:charset w:val="00"/>
    <w:family w:val="auto"/>
    <w:pitch w:val="default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3E" w14:textId="77777777" w:rsidR="00BA391A" w:rsidRDefault="007478D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0000003F" w14:textId="77777777" w:rsidR="00BA391A" w:rsidRDefault="00BA391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40" w14:textId="77777777" w:rsidR="00BA391A" w:rsidRDefault="007478D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>
      <w:rPr>
        <w:rFonts w:eastAsia="Times New Roman"/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</w:p>
  <w:p w14:paraId="00000041" w14:textId="77777777" w:rsidR="00BA391A" w:rsidRDefault="00BA391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734124" w14:textId="77777777" w:rsidR="00000000" w:rsidRDefault="007478DC">
      <w:pPr>
        <w:spacing w:line="240" w:lineRule="auto"/>
        <w:ind w:left="0" w:hanging="3"/>
      </w:pPr>
      <w:r>
        <w:separator/>
      </w:r>
    </w:p>
  </w:footnote>
  <w:footnote w:type="continuationSeparator" w:id="0">
    <w:p w14:paraId="5B130DC1" w14:textId="77777777" w:rsidR="00000000" w:rsidRDefault="007478DC">
      <w:pPr>
        <w:spacing w:line="240" w:lineRule="auto"/>
        <w:ind w:left="0" w:hanging="3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83BAC"/>
    <w:multiLevelType w:val="multilevel"/>
    <w:tmpl w:val="02468172"/>
    <w:lvl w:ilvl="0">
      <w:start w:val="1"/>
      <w:numFmt w:val="decimal"/>
      <w:lvlText w:val="%1."/>
      <w:lvlJc w:val="left"/>
      <w:pPr>
        <w:ind w:left="660" w:hanging="1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7AF0090"/>
    <w:multiLevelType w:val="multilevel"/>
    <w:tmpl w:val="9D00B1BE"/>
    <w:lvl w:ilvl="0">
      <w:start w:val="1"/>
      <w:numFmt w:val="decimal"/>
      <w:lvlText w:val="%1."/>
      <w:lvlJc w:val="left"/>
      <w:pPr>
        <w:ind w:left="660" w:hanging="1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94B3A45"/>
    <w:multiLevelType w:val="multilevel"/>
    <w:tmpl w:val="5900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F56204"/>
    <w:multiLevelType w:val="multilevel"/>
    <w:tmpl w:val="DCB0C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902A14"/>
    <w:multiLevelType w:val="multilevel"/>
    <w:tmpl w:val="FBE40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9393465"/>
    <w:multiLevelType w:val="multilevel"/>
    <w:tmpl w:val="841A37D6"/>
    <w:lvl w:ilvl="0">
      <w:start w:val="1"/>
      <w:numFmt w:val="decimal"/>
      <w:lvlText w:val="%1."/>
      <w:lvlJc w:val="left"/>
      <w:pPr>
        <w:ind w:left="660" w:hanging="1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2FC713DF"/>
    <w:multiLevelType w:val="multilevel"/>
    <w:tmpl w:val="1988BAC4"/>
    <w:lvl w:ilvl="0">
      <w:start w:val="3"/>
      <w:numFmt w:val="bullet"/>
      <w:lvlText w:val="◎"/>
      <w:lvlJc w:val="left"/>
      <w:pPr>
        <w:ind w:left="360" w:hanging="360"/>
      </w:pPr>
      <w:rPr>
        <w:rFonts w:ascii="BiauKai" w:eastAsia="BiauKai" w:hAnsi="BiauKai" w:cs="BiauKai"/>
        <w:vertAlign w:val="baseline"/>
      </w:rPr>
    </w:lvl>
    <w:lvl w:ilvl="1">
      <w:start w:val="1"/>
      <w:numFmt w:val="bullet"/>
      <w:lvlText w:val="■"/>
      <w:lvlJc w:val="left"/>
      <w:pPr>
        <w:ind w:left="960" w:hanging="48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◆"/>
      <w:lvlJc w:val="left"/>
      <w:pPr>
        <w:ind w:left="1440" w:hanging="48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1920" w:hanging="48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■"/>
      <w:lvlJc w:val="left"/>
      <w:pPr>
        <w:ind w:left="2400" w:hanging="480"/>
      </w:pPr>
      <w:rPr>
        <w:rFonts w:ascii="Noto Sans Symbols" w:eastAsia="Noto Sans Symbols" w:hAnsi="Noto Sans Symbols" w:cs="Noto Sans Symbols"/>
        <w:vertAlign w:val="baseline"/>
      </w:rPr>
    </w:lvl>
    <w:lvl w:ilvl="5">
      <w:start w:val="1"/>
      <w:numFmt w:val="bullet"/>
      <w:lvlText w:val="◆"/>
      <w:lvlJc w:val="left"/>
      <w:pPr>
        <w:ind w:left="2880" w:hanging="48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3360" w:hanging="48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■"/>
      <w:lvlJc w:val="left"/>
      <w:pPr>
        <w:ind w:left="3840" w:hanging="480"/>
      </w:pPr>
      <w:rPr>
        <w:rFonts w:ascii="Noto Sans Symbols" w:eastAsia="Noto Sans Symbols" w:hAnsi="Noto Sans Symbols" w:cs="Noto Sans Symbols"/>
        <w:vertAlign w:val="baseline"/>
      </w:rPr>
    </w:lvl>
    <w:lvl w:ilvl="8">
      <w:start w:val="1"/>
      <w:numFmt w:val="bullet"/>
      <w:lvlText w:val="◆"/>
      <w:lvlJc w:val="left"/>
      <w:pPr>
        <w:ind w:left="4320" w:hanging="48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99715E7"/>
    <w:multiLevelType w:val="multilevel"/>
    <w:tmpl w:val="EA2895DE"/>
    <w:lvl w:ilvl="0">
      <w:start w:val="1"/>
      <w:numFmt w:val="decimal"/>
      <w:lvlText w:val="%1."/>
      <w:lvlJc w:val="left"/>
      <w:pPr>
        <w:ind w:left="660" w:hanging="18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3AB568C3"/>
    <w:multiLevelType w:val="multilevel"/>
    <w:tmpl w:val="78783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6062101"/>
    <w:multiLevelType w:val="multilevel"/>
    <w:tmpl w:val="DB0C0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3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91A"/>
    <w:rsid w:val="007478DC"/>
    <w:rsid w:val="00BA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55FC5F-6E6E-44E6-AAFC-8006EAC3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8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jk">
    <w:name w:val="cjk"/>
    <w:basedOn w:val="a"/>
    <w:rsid w:val="007478DC"/>
    <w:pPr>
      <w:widowControl/>
      <w:suppressAutoHyphens w:val="0"/>
      <w:spacing w:before="100" w:beforeAutospacing="1" w:after="100" w:afterAutospacing="1" w:line="0" w:lineRule="atLeast"/>
      <w:ind w:leftChars="0" w:left="0" w:firstLineChars="0" w:firstLine="0"/>
      <w:textDirection w:val="lrTb"/>
      <w:textAlignment w:val="auto"/>
      <w:outlineLvl w:val="9"/>
    </w:pPr>
    <w:rPr>
      <w:rFonts w:ascii="新細明體" w:eastAsia="新細明體" w:hAnsi="新細明體" w:cs="新細明體"/>
      <w:kern w:val="0"/>
      <w:position w:val="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cp:lastPrinted>2019-09-16T05:05:00Z</cp:lastPrinted>
  <dcterms:created xsi:type="dcterms:W3CDTF">2011-10-16T08:40:00Z</dcterms:created>
  <dcterms:modified xsi:type="dcterms:W3CDTF">2019-09-16T05:05:00Z</dcterms:modified>
</cp:coreProperties>
</file>